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59" w:lineRule="auto"/>
        <w:jc w:val="both"/>
        <w:rPr>
          <w:rFonts w:ascii="Times New Roman" w:cs="Times New Roman" w:eastAsia="Times New Roman" w:hAnsi="Times New Roman"/>
          <w:b w:val="1"/>
          <w:bCs w:val="1"/>
        </w:rPr>
      </w:pPr>
      <w:bookmarkStart w:colFirst="0" w:colLast="0" w:name="_heading=h.cyi6gsrn3kfk" w:id="0"/>
      <w:bookmarkEnd w:id="0"/>
      <w:r w:rsidDel="00000000" w:rsidR="00000000" w:rsidRPr="00000000">
        <w:rPr>
          <w:b w:val="1"/>
          <w:bCs w:val="1"/>
          <w:rtl w:val="0"/>
        </w:rPr>
        <w:t xml:space="preserve">1.0</w:t>
        <w:tab/>
      </w:r>
      <w:r w:rsidDel="00000000" w:rsidR="00000000" w:rsidRPr="00000000">
        <w:rPr>
          <w:rFonts w:ascii="Times New Roman" w:cs="Times New Roman" w:eastAsia="Times New Roman" w:hAnsi="Times New Roman"/>
          <w:b w:val="1"/>
          <w:bCs w:val="1"/>
          <w:rtl w:val="0"/>
        </w:rPr>
        <w:t xml:space="preserve">PURPOSE</w:t>
      </w:r>
    </w:p>
    <w:p w:rsidR="00000000" w:rsidDel="00000000" w:rsidP="00000000" w:rsidRDefault="00000000" w:rsidRPr="00000000" w14:paraId="00000002">
      <w:pPr>
        <w:spacing w:after="0" w:line="259"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3">
      <w:pP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Five Phase Approval Process is designed to lead to the issue of a specific approval, where such is required, and consists of the following courses of actions. Elements of this process are to be understood as guidelines for Operators. </w:t>
      </w:r>
    </w:p>
    <w:p w:rsidR="00000000" w:rsidDel="00000000" w:rsidP="00000000" w:rsidRDefault="00000000" w:rsidRPr="00000000" w14:paraId="00000004">
      <w:pPr>
        <w:spacing w:after="18" w:line="256" w:lineRule="auto"/>
        <w:ind w:left="720" w:hanging="72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2.0</w:t>
        <w:tab/>
        <w:t xml:space="preserve">REFERENCES</w:t>
      </w:r>
    </w:p>
    <w:p w:rsidR="00000000" w:rsidDel="00000000" w:rsidP="00000000" w:rsidRDefault="00000000" w:rsidRPr="00000000" w14:paraId="00000005">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Times New Roman" w:cs="Times New Roman" w:eastAsia="Times New Roman" w:hAnsi="Times New Roman"/>
          <w:i w:val="0"/>
          <w:iCs w:val="0"/>
          <w:smallCaps w:val="0"/>
          <w:strike w:val="0"/>
          <w:color w:val="000000"/>
          <w:shd w:fill="auto" w:val="clear"/>
          <w:vertAlign w:val="baseline"/>
        </w:rPr>
      </w:pPr>
      <w:bookmarkStart w:colFirst="0" w:colLast="0" w:name="_heading=h.9bn69vx9fo2p" w:id="1"/>
      <w:bookmarkEnd w:id="1"/>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Civil Aviation (Operation of Aircraft - Commercial Air Transport) Regulations, 2024</w:t>
      </w:r>
    </w:p>
    <w:p w:rsidR="00000000" w:rsidDel="00000000" w:rsidP="00000000" w:rsidRDefault="00000000" w:rsidRPr="00000000" w14:paraId="00000006">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Times New Roman" w:cs="Times New Roman" w:eastAsia="Times New Roman" w:hAnsi="Times New Roman"/>
          <w:i w:val="0"/>
          <w:iCs w:val="0"/>
          <w:smallCaps w:val="0"/>
          <w:strike w:val="0"/>
          <w:color w:val="000000"/>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Civil Aviation (Operation of Aircraft - General Aviation) Regulations, 2024</w:t>
      </w:r>
    </w:p>
    <w:p w:rsidR="00000000" w:rsidDel="00000000" w:rsidP="00000000" w:rsidRDefault="00000000" w:rsidRPr="00000000" w14:paraId="00000007">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Times New Roman" w:cs="Times New Roman" w:eastAsia="Times New Roman" w:hAnsi="Times New Roman"/>
          <w:i w:val="0"/>
          <w:iCs w:val="0"/>
          <w:smallCaps w:val="0"/>
          <w:strike w:val="0"/>
          <w:color w:val="000000"/>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Civil Aviation (Operation of Aircraft - Helicopter Operations) Regulations, 2024 as amended;</w:t>
      </w:r>
    </w:p>
    <w:p w:rsidR="00000000" w:rsidDel="00000000" w:rsidP="00000000" w:rsidRDefault="00000000" w:rsidRPr="00000000" w14:paraId="00000008">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Times New Roman" w:cs="Times New Roman" w:eastAsia="Times New Roman" w:hAnsi="Times New Roman"/>
          <w:i w:val="0"/>
          <w:iCs w:val="0"/>
          <w:smallCaps w:val="0"/>
          <w:strike w:val="0"/>
          <w:color w:val="000000"/>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Civil Aviation (Instruments and Equipment) Regulations, as amended</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Times New Roman" w:cs="Times New Roman" w:eastAsia="Times New Roman" w:hAnsi="Times New Roman"/>
          <w:i w:val="0"/>
          <w:iCs w:val="0"/>
          <w:smallCaps w:val="0"/>
          <w:strike w:val="0"/>
          <w:color w:val="000000"/>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ICAO Doc. 10020 Manual on Electronic Flight Bag (EFB)</w:t>
      </w:r>
      <w:r w:rsidDel="00000000" w:rsidR="00000000" w:rsidRPr="00000000">
        <w:rPr>
          <w:rtl w:val="0"/>
        </w:rPr>
      </w:r>
    </w:p>
    <w:p w:rsidR="00000000" w:rsidDel="00000000" w:rsidP="00000000" w:rsidRDefault="00000000" w:rsidRPr="00000000" w14:paraId="0000000A">
      <w:pPr>
        <w:spacing w:after="18" w:line="256" w:lineRule="auto"/>
        <w:ind w:left="720" w:hanging="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spacing w:after="16" w:line="256" w:lineRule="auto"/>
        <w:ind w:left="720" w:hanging="72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3.0 </w:t>
        <w:tab/>
        <w:t xml:space="preserve">DEFINITION OF THE SCOPE</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6" w:before="0" w:line="256" w:lineRule="auto"/>
        <w:ind w:left="720" w:right="0" w:firstLine="0"/>
        <w:jc w:val="both"/>
        <w:rPr>
          <w:rFonts w:ascii="Times New Roman" w:cs="Times New Roman" w:eastAsia="Times New Roman" w:hAnsi="Times New Roman"/>
          <w:b w:val="1"/>
          <w:bCs w:val="1"/>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 </w:t>
      </w:r>
    </w:p>
    <w:p w:rsidR="00000000" w:rsidDel="00000000" w:rsidP="00000000" w:rsidRDefault="00000000" w:rsidRPr="00000000" w14:paraId="0000000D">
      <w:pPr>
        <w:spacing w:after="47" w:line="256" w:lineRule="auto"/>
        <w:ind w:left="720" w:hanging="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 </w:t>
        <w:tab/>
        <w:t xml:space="preserve">The scope of the operational evaluation plan will depend upon the applicant’s experience with EFBs. Considerations should include whether the operator:  </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1" w:before="0" w:line="268" w:lineRule="auto"/>
        <w:ind w:left="1170" w:right="0" w:hanging="450"/>
        <w:jc w:val="both"/>
        <w:rPr>
          <w:rFonts w:ascii="Times New Roman" w:cs="Times New Roman" w:eastAsia="Times New Roman" w:hAnsi="Times New Roman"/>
          <w:i w:val="0"/>
          <w:iCs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has no EFB experience, thus requiring a “new application and approval process”; or </w:t>
      </w:r>
    </w:p>
    <w:p w:rsidR="00000000" w:rsidDel="00000000" w:rsidP="00000000" w:rsidRDefault="00000000" w:rsidRPr="00000000" w14:paraId="0000000F">
      <w:pPr>
        <w:numPr>
          <w:ilvl w:val="0"/>
          <w:numId w:val="1"/>
        </w:numPr>
        <w:spacing w:after="11" w:line="268" w:lineRule="auto"/>
        <w:ind w:left="1170" w:hanging="45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has initiated the process of establishing an EFB programme; or  </w:t>
      </w:r>
    </w:p>
    <w:p w:rsidR="00000000" w:rsidDel="00000000" w:rsidP="00000000" w:rsidRDefault="00000000" w:rsidRPr="00000000" w14:paraId="00000010">
      <w:pPr>
        <w:numPr>
          <w:ilvl w:val="0"/>
          <w:numId w:val="1"/>
        </w:numPr>
        <w:spacing w:after="11" w:line="268" w:lineRule="auto"/>
        <w:ind w:left="1170" w:hanging="45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has an existing approved EFB programme.  </w:t>
      </w:r>
    </w:p>
    <w:p w:rsidR="00000000" w:rsidDel="00000000" w:rsidP="00000000" w:rsidRDefault="00000000" w:rsidRPr="00000000" w14:paraId="00000011">
      <w:pPr>
        <w:spacing w:after="16" w:line="256" w:lineRule="auto"/>
        <w:ind w:left="720" w:hanging="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2">
      <w:pPr>
        <w:ind w:left="720" w:hanging="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 </w:t>
        <w:tab/>
        <w:t xml:space="preserve">An operator implementing EFB functions may choose to start a paperless flight-deck operation without paper backup or a combination of solutions with limited on-board paper backup. The operator may also choose to keep the paper backup as a cross-check against the EFB information and as a means of mitigation against failure, when transitioning from paper to electronic format. </w:t>
      </w:r>
    </w:p>
    <w:p w:rsidR="00000000" w:rsidDel="00000000" w:rsidP="00000000" w:rsidRDefault="00000000" w:rsidRPr="00000000" w14:paraId="00000013">
      <w:pPr>
        <w:spacing w:after="16" w:line="256"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rtl w:val="0"/>
        </w:rPr>
        <w:t xml:space="preserve">4.0</w:t>
      </w:r>
      <w:r w:rsidDel="00000000" w:rsidR="00000000" w:rsidRPr="00000000">
        <w:rPr>
          <w:rFonts w:ascii="Times New Roman" w:cs="Times New Roman" w:eastAsia="Times New Roman" w:hAnsi="Times New Roman"/>
          <w:rtl w:val="0"/>
        </w:rPr>
        <w:t xml:space="preserve"> </w:t>
        <w:tab/>
      </w:r>
      <w:r w:rsidDel="00000000" w:rsidR="00000000" w:rsidRPr="00000000">
        <w:rPr>
          <w:rFonts w:ascii="Times New Roman" w:cs="Times New Roman" w:eastAsia="Times New Roman" w:hAnsi="Times New Roman"/>
          <w:b w:val="1"/>
          <w:bCs w:val="1"/>
          <w:color w:val="000000"/>
          <w:rtl w:val="0"/>
        </w:rPr>
        <w:t xml:space="preserve">INITIAL DISCUSSION WITH THE AUTHORITY (PHASE 1) </w:t>
      </w:r>
    </w:p>
    <w:p w:rsidR="00000000" w:rsidDel="00000000" w:rsidP="00000000" w:rsidRDefault="00000000" w:rsidRPr="00000000" w14:paraId="00000014">
      <w:pPr>
        <w:spacing w:after="16" w:line="256" w:lineRule="auto"/>
        <w:ind w:left="720" w:hanging="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5">
      <w:pPr>
        <w:spacing w:after="16" w:line="256"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During this phase, the regulator and the operator reach a common understanding of what needs to be evaluated, the role of the regulator, the applicable requirements, whether trials should take place and when, how they must be conducted and documented, and what documents and actions the operator is responsible for during each phase of the approval process.</w:t>
      </w:r>
    </w:p>
    <w:p w:rsidR="00000000" w:rsidDel="00000000" w:rsidP="00000000" w:rsidRDefault="00000000" w:rsidRPr="00000000" w14:paraId="00000016">
      <w:pPr>
        <w:spacing w:after="16" w:line="256"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Applicant should write an application letter to the Authority and the letter should include at least the following;</w:t>
      </w:r>
    </w:p>
    <w:p w:rsidR="00000000" w:rsidDel="00000000" w:rsidP="00000000" w:rsidRDefault="00000000" w:rsidRPr="00000000" w14:paraId="00000017">
      <w:pPr>
        <w:spacing w:after="16" w:line="256" w:lineRule="auto"/>
        <w:ind w:left="1170" w:hanging="45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w:t>
        <w:tab/>
        <w:t xml:space="preserve">A general description of the EFB system, including:</w:t>
      </w:r>
    </w:p>
    <w:p w:rsidR="00000000" w:rsidDel="00000000" w:rsidP="00000000" w:rsidRDefault="00000000" w:rsidRPr="00000000" w14:paraId="00000018">
      <w:pPr>
        <w:spacing w:after="16" w:line="256" w:lineRule="auto"/>
        <w:ind w:left="1620" w:hanging="45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w:t>
        <w:tab/>
        <w:t xml:space="preserve">EFB manufacturer</w:t>
      </w:r>
    </w:p>
    <w:p w:rsidR="00000000" w:rsidDel="00000000" w:rsidP="00000000" w:rsidRDefault="00000000" w:rsidRPr="00000000" w14:paraId="00000019">
      <w:pPr>
        <w:spacing w:after="16" w:line="256" w:lineRule="auto"/>
        <w:ind w:left="1620" w:hanging="45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w:t>
        <w:tab/>
        <w:t xml:space="preserve">EFB model</w:t>
      </w:r>
    </w:p>
    <w:p w:rsidR="00000000" w:rsidDel="00000000" w:rsidP="00000000" w:rsidRDefault="00000000" w:rsidRPr="00000000" w14:paraId="0000001A">
      <w:pPr>
        <w:spacing w:after="16" w:line="256" w:lineRule="auto"/>
        <w:ind w:left="1620" w:hanging="45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w:t>
        <w:tab/>
        <w:t xml:space="preserve">A description of major components within the EFB, such as:</w:t>
      </w:r>
    </w:p>
    <w:p w:rsidR="00000000" w:rsidDel="00000000" w:rsidP="00000000" w:rsidRDefault="00000000" w:rsidRPr="00000000" w14:paraId="0000001B">
      <w:pPr>
        <w:spacing w:after="16" w:line="256" w:lineRule="auto"/>
        <w:ind w:left="198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w:t>
        <w:tab/>
        <w:t xml:space="preserve">Processor</w:t>
      </w:r>
    </w:p>
    <w:p w:rsidR="00000000" w:rsidDel="00000000" w:rsidP="00000000" w:rsidRDefault="00000000" w:rsidRPr="00000000" w14:paraId="0000001C">
      <w:pPr>
        <w:spacing w:after="16" w:line="256" w:lineRule="auto"/>
        <w:ind w:left="198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ii) </w:t>
        <w:tab/>
        <w:t xml:space="preserve">Video Card</w:t>
      </w:r>
    </w:p>
    <w:p w:rsidR="00000000" w:rsidDel="00000000" w:rsidP="00000000" w:rsidRDefault="00000000" w:rsidRPr="00000000" w14:paraId="0000001D">
      <w:pPr>
        <w:spacing w:after="16" w:line="256" w:lineRule="auto"/>
        <w:ind w:left="198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iii) </w:t>
        <w:tab/>
        <w:t xml:space="preserve">Hard Drive</w:t>
      </w:r>
    </w:p>
    <w:p w:rsidR="00000000" w:rsidDel="00000000" w:rsidP="00000000" w:rsidRDefault="00000000" w:rsidRPr="00000000" w14:paraId="0000001E">
      <w:pPr>
        <w:spacing w:after="16" w:line="256" w:lineRule="auto"/>
        <w:ind w:left="198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iv) </w:t>
        <w:tab/>
        <w:t xml:space="preserve">Wireless Connection</w:t>
      </w:r>
    </w:p>
    <w:p w:rsidR="00000000" w:rsidDel="00000000" w:rsidP="00000000" w:rsidRDefault="00000000" w:rsidRPr="00000000" w14:paraId="0000001F">
      <w:pPr>
        <w:spacing w:after="16" w:line="256" w:lineRule="auto"/>
        <w:ind w:left="198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 </w:t>
        <w:tab/>
        <w:t xml:space="preserve">Power Supply</w:t>
      </w:r>
    </w:p>
    <w:p w:rsidR="00000000" w:rsidDel="00000000" w:rsidP="00000000" w:rsidRDefault="00000000" w:rsidRPr="00000000" w14:paraId="00000020">
      <w:pPr>
        <w:spacing w:after="16" w:line="256" w:lineRule="auto"/>
        <w:ind w:left="198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 </w:t>
        <w:tab/>
        <w:t xml:space="preserve">RAM</w:t>
      </w:r>
    </w:p>
    <w:p w:rsidR="00000000" w:rsidDel="00000000" w:rsidP="00000000" w:rsidRDefault="00000000" w:rsidRPr="00000000" w14:paraId="00000021">
      <w:pPr>
        <w:spacing w:after="16" w:line="256" w:lineRule="auto"/>
        <w:ind w:left="108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w:t>
        <w:tab/>
        <w:t xml:space="preserve">The EFB operating system and version</w:t>
      </w:r>
    </w:p>
    <w:p w:rsidR="00000000" w:rsidDel="00000000" w:rsidP="00000000" w:rsidRDefault="00000000" w:rsidRPr="00000000" w14:paraId="00000022">
      <w:pPr>
        <w:spacing w:after="16" w:line="256" w:lineRule="auto"/>
        <w:ind w:left="108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w:t>
        <w:tab/>
        <w:t xml:space="preserve">A list of the applications to be installed.</w:t>
      </w:r>
    </w:p>
    <w:p w:rsidR="00000000" w:rsidDel="00000000" w:rsidP="00000000" w:rsidRDefault="00000000" w:rsidRPr="00000000" w14:paraId="00000023">
      <w:pPr>
        <w:spacing w:after="16" w:line="256" w:lineRule="auto"/>
        <w:ind w:left="108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w:t>
        <w:tab/>
        <w:t xml:space="preserve">For each application, include a high-level description of revision process, procedure, or method that ensures appropriate database accuracy and currency. The manufacturer’s name and model number of the mounting system (if applicable).</w:t>
      </w:r>
    </w:p>
    <w:p w:rsidR="00000000" w:rsidDel="00000000" w:rsidP="00000000" w:rsidRDefault="00000000" w:rsidRPr="00000000" w14:paraId="00000024">
      <w:pPr>
        <w:spacing w:after="16" w:line="256" w:lineRule="auto"/>
        <w:ind w:left="108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w:t>
        <w:tab/>
        <w:t xml:space="preserve">Aircraft Make/Model/Series</w:t>
      </w:r>
    </w:p>
    <w:p w:rsidR="00000000" w:rsidDel="00000000" w:rsidP="00000000" w:rsidRDefault="00000000" w:rsidRPr="00000000" w14:paraId="00000025">
      <w:pPr>
        <w:spacing w:after="16" w:line="256" w:lineRule="auto"/>
        <w:ind w:left="108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w:t>
        <w:tab/>
        <w:t xml:space="preserve">Any manufacturer’s data available for:</w:t>
      </w:r>
    </w:p>
    <w:p w:rsidR="00000000" w:rsidDel="00000000" w:rsidP="00000000" w:rsidRDefault="00000000" w:rsidRPr="00000000" w14:paraId="00000026">
      <w:pPr>
        <w:spacing w:after="16" w:line="256" w:lineRule="auto"/>
        <w:ind w:left="1530" w:hanging="45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w:t>
        <w:tab/>
        <w:t xml:space="preserve">Electromagnetic Interference (EMI)</w:t>
      </w:r>
    </w:p>
    <w:p w:rsidR="00000000" w:rsidDel="00000000" w:rsidP="00000000" w:rsidRDefault="00000000" w:rsidRPr="00000000" w14:paraId="00000027">
      <w:pPr>
        <w:spacing w:after="16" w:line="256" w:lineRule="auto"/>
        <w:ind w:left="1530" w:hanging="45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w:t>
        <w:tab/>
        <w:t xml:space="preserve">Rapid Depressurization, if applicable</w:t>
      </w:r>
    </w:p>
    <w:p w:rsidR="00000000" w:rsidDel="00000000" w:rsidP="00000000" w:rsidRDefault="00000000" w:rsidRPr="00000000" w14:paraId="00000028">
      <w:pPr>
        <w:spacing w:after="16" w:line="256" w:lineRule="auto"/>
        <w:ind w:left="720" w:firstLine="0"/>
        <w:jc w:val="both"/>
        <w:rPr>
          <w:rFonts w:ascii="Times New Roman" w:cs="Times New Roman" w:eastAsia="Times New Roman" w:hAnsi="Times New Roman"/>
        </w:rPr>
      </w:pPr>
      <w:bookmarkStart w:colFirst="0" w:colLast="0" w:name="_heading=h.eoq87dg3qjw" w:id="2"/>
      <w:bookmarkEnd w:id="2"/>
      <w:r w:rsidDel="00000000" w:rsidR="00000000" w:rsidRPr="00000000">
        <w:rPr>
          <w:rFonts w:ascii="Times New Roman" w:cs="Times New Roman" w:eastAsia="Times New Roman" w:hAnsi="Times New Roman"/>
          <w:rtl w:val="0"/>
        </w:rPr>
        <w:t xml:space="preserve">Also, Applicants should fill and submit the Application Form for Electronic Flight Bag (EFB) Approval – TCAA-AC-GEN101.</w:t>
      </w:r>
    </w:p>
    <w:p w:rsidR="00000000" w:rsidDel="00000000" w:rsidP="00000000" w:rsidRDefault="00000000" w:rsidRPr="00000000" w14:paraId="00000029">
      <w:pPr>
        <w:spacing w:after="16" w:line="256" w:lineRule="auto"/>
        <w:ind w:left="720" w:hanging="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A">
      <w:pPr>
        <w:keepNext w:val="1"/>
        <w:keepLines w:val="1"/>
        <w:pageBreakBefore w:val="0"/>
        <w:widowControl w:val="1"/>
        <w:numPr>
          <w:ilvl w:val="0"/>
          <w:numId w:val="4"/>
        </w:numPr>
        <w:pBdr>
          <w:top w:space="0" w:sz="0" w:val="nil"/>
          <w:left w:space="0" w:sz="0" w:val="nil"/>
          <w:bottom w:space="0" w:sz="0" w:val="nil"/>
          <w:right w:space="0" w:sz="0" w:val="nil"/>
          <w:between w:space="0" w:sz="0" w:val="nil"/>
        </w:pBdr>
        <w:shd w:fill="auto" w:val="clear"/>
        <w:spacing w:after="5" w:before="0" w:line="268" w:lineRule="auto"/>
        <w:ind w:left="720" w:right="51" w:hanging="720"/>
        <w:jc w:val="both"/>
        <w:rPr>
          <w:rFonts w:ascii="Times New Roman" w:cs="Times New Roman" w:eastAsia="Times New Roman" w:hAnsi="Times New Roman"/>
          <w:b w:val="1"/>
          <w:bCs w:val="1"/>
          <w:i w:val="0"/>
          <w:iCs w:val="0"/>
          <w:smallCaps w:val="0"/>
          <w:strike w:val="0"/>
          <w:color w:val="000000"/>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APPLICATION (PHASE 2)</w:t>
      </w:r>
    </w:p>
    <w:p w:rsidR="00000000" w:rsidDel="00000000" w:rsidP="00000000" w:rsidRDefault="00000000" w:rsidRPr="00000000" w14:paraId="0000002B">
      <w:pPr>
        <w:keepNext w:val="1"/>
        <w:keepLines w:val="1"/>
        <w:spacing w:after="5" w:line="268" w:lineRule="auto"/>
        <w:ind w:left="720" w:right="51" w:firstLine="0"/>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 </w:t>
      </w:r>
    </w:p>
    <w:p w:rsidR="00000000" w:rsidDel="00000000" w:rsidP="00000000" w:rsidRDefault="00000000" w:rsidRPr="00000000" w14:paraId="0000002C">
      <w:pPr>
        <w:spacing w:after="16" w:line="256" w:lineRule="auto"/>
        <w:ind w:left="720" w:hanging="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tab/>
        <w:t xml:space="preserve">Phase 2 begins when the operator submits a formal compliance plan to The Authority for evaluation. The plan is reviewed for completeness and compliance to the regulations and The Authority may coordinate with other inspectors and regulatory offices as necessary. Once the Authority is satisfied with the submitted plan, the operator follows that plan to produce a complete EFB programme. The operator must clarify the intent of the operation (with or without paper backup or a combination of paperless and paper). The applicant will typically submit information in the application package, such as the following: </w:t>
      </w:r>
    </w:p>
    <w:p w:rsidR="00000000" w:rsidDel="00000000" w:rsidP="00000000" w:rsidRDefault="00000000" w:rsidRPr="00000000" w14:paraId="0000002D">
      <w:pPr>
        <w:numPr>
          <w:ilvl w:val="0"/>
          <w:numId w:val="2"/>
        </w:numPr>
        <w:spacing w:after="11" w:line="268" w:lineRule="auto"/>
        <w:ind w:left="1170" w:hanging="45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Application letter</w:t>
      </w:r>
    </w:p>
    <w:p w:rsidR="00000000" w:rsidDel="00000000" w:rsidP="00000000" w:rsidRDefault="00000000" w:rsidRPr="00000000" w14:paraId="0000002E">
      <w:pPr>
        <w:numPr>
          <w:ilvl w:val="0"/>
          <w:numId w:val="2"/>
        </w:numPr>
        <w:spacing w:after="11" w:line="268" w:lineRule="auto"/>
        <w:ind w:left="1170" w:hanging="45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Application form</w:t>
      </w:r>
    </w:p>
    <w:p w:rsidR="00000000" w:rsidDel="00000000" w:rsidP="00000000" w:rsidRDefault="00000000" w:rsidRPr="00000000" w14:paraId="0000002F">
      <w:pPr>
        <w:numPr>
          <w:ilvl w:val="0"/>
          <w:numId w:val="2"/>
        </w:numPr>
        <w:spacing w:after="11" w:line="268" w:lineRule="auto"/>
        <w:ind w:left="1170" w:hanging="45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EFB operational suitability report (if applicable); </w:t>
      </w:r>
    </w:p>
    <w:p w:rsidR="00000000" w:rsidDel="00000000" w:rsidP="00000000" w:rsidRDefault="00000000" w:rsidRPr="00000000" w14:paraId="00000030">
      <w:pPr>
        <w:numPr>
          <w:ilvl w:val="0"/>
          <w:numId w:val="2"/>
        </w:numPr>
        <w:spacing w:after="11" w:line="268" w:lineRule="auto"/>
        <w:ind w:left="1170" w:hanging="45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EFB hardware and application specifications; </w:t>
      </w:r>
    </w:p>
    <w:p w:rsidR="00000000" w:rsidDel="00000000" w:rsidP="00000000" w:rsidRDefault="00000000" w:rsidRPr="00000000" w14:paraId="00000031">
      <w:pPr>
        <w:numPr>
          <w:ilvl w:val="0"/>
          <w:numId w:val="2"/>
        </w:numPr>
        <w:spacing w:after="11" w:line="268" w:lineRule="auto"/>
        <w:ind w:left="1170" w:hanging="45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EFB operator procedures or manual revisions;</w:t>
      </w:r>
    </w:p>
    <w:p w:rsidR="00000000" w:rsidDel="00000000" w:rsidP="00000000" w:rsidRDefault="00000000" w:rsidRPr="00000000" w14:paraId="00000032">
      <w:pPr>
        <w:numPr>
          <w:ilvl w:val="0"/>
          <w:numId w:val="2"/>
        </w:numPr>
        <w:spacing w:after="11" w:line="268" w:lineRule="auto"/>
        <w:ind w:left="1170" w:hanging="45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EFB training programme; </w:t>
      </w:r>
    </w:p>
    <w:p w:rsidR="00000000" w:rsidDel="00000000" w:rsidP="00000000" w:rsidRDefault="00000000" w:rsidRPr="00000000" w14:paraId="00000033">
      <w:pPr>
        <w:numPr>
          <w:ilvl w:val="0"/>
          <w:numId w:val="2"/>
        </w:numPr>
        <w:spacing w:after="11" w:line="268" w:lineRule="auto"/>
        <w:ind w:left="1170" w:hanging="45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EFB evaluation report; and </w:t>
      </w:r>
    </w:p>
    <w:p w:rsidR="00000000" w:rsidDel="00000000" w:rsidP="00000000" w:rsidRDefault="00000000" w:rsidRPr="00000000" w14:paraId="00000034">
      <w:pPr>
        <w:numPr>
          <w:ilvl w:val="0"/>
          <w:numId w:val="2"/>
        </w:numPr>
        <w:spacing w:after="11" w:line="268" w:lineRule="auto"/>
        <w:ind w:left="1170" w:hanging="45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EFB risk assessment. </w:t>
      </w:r>
    </w:p>
    <w:p w:rsidR="00000000" w:rsidDel="00000000" w:rsidP="00000000" w:rsidRDefault="00000000" w:rsidRPr="00000000" w14:paraId="00000035">
      <w:pPr>
        <w:spacing w:after="16" w:line="256" w:lineRule="auto"/>
        <w:ind w:left="720" w:hanging="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6">
      <w:pPr>
        <w:keepNext w:val="1"/>
        <w:keepLines w:val="1"/>
        <w:pageBreakBefore w:val="0"/>
        <w:widowControl w:val="1"/>
        <w:numPr>
          <w:ilvl w:val="0"/>
          <w:numId w:val="4"/>
        </w:numPr>
        <w:pBdr>
          <w:top w:space="0" w:sz="0" w:val="nil"/>
          <w:left w:space="0" w:sz="0" w:val="nil"/>
          <w:bottom w:space="0" w:sz="0" w:val="nil"/>
          <w:right w:space="0" w:sz="0" w:val="nil"/>
          <w:between w:space="0" w:sz="0" w:val="nil"/>
        </w:pBdr>
        <w:shd w:fill="auto" w:val="clear"/>
        <w:spacing w:after="5" w:before="0" w:line="268" w:lineRule="auto"/>
        <w:ind w:left="720" w:right="53" w:hanging="720"/>
        <w:jc w:val="both"/>
        <w:rPr>
          <w:rFonts w:ascii="Times New Roman" w:cs="Times New Roman" w:eastAsia="Times New Roman" w:hAnsi="Times New Roman"/>
          <w:b w:val="1"/>
          <w:bCs w:val="1"/>
          <w:i w:val="0"/>
          <w:iCs w:val="0"/>
          <w:smallCaps w:val="0"/>
          <w:strike w:val="0"/>
          <w:color w:val="000000"/>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THE AUTHORITY REVIEW (PHASE 3) </w:t>
      </w:r>
    </w:p>
    <w:p w:rsidR="00000000" w:rsidDel="00000000" w:rsidP="00000000" w:rsidRDefault="00000000" w:rsidRPr="00000000" w14:paraId="00000037">
      <w:pPr>
        <w:spacing w:after="16" w:line="256" w:lineRule="auto"/>
        <w:ind w:left="720" w:hanging="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8">
      <w:pPr>
        <w:ind w:left="720" w:hanging="720"/>
        <w:jc w:val="both"/>
        <w:rPr>
          <w:rFonts w:ascii="Times New Roman" w:cs="Times New Roman" w:eastAsia="Times New Roman" w:hAnsi="Times New Roman"/>
        </w:rPr>
      </w:pPr>
      <w:bookmarkStart w:colFirst="0" w:colLast="0" w:name="_heading=h.8q7cbcrebwcp" w:id="3"/>
      <w:bookmarkEnd w:id="3"/>
      <w:r w:rsidDel="00000000" w:rsidR="00000000" w:rsidRPr="00000000">
        <w:rPr>
          <w:rFonts w:ascii="Times New Roman" w:cs="Times New Roman" w:eastAsia="Times New Roman" w:hAnsi="Times New Roman"/>
          <w:rtl w:val="0"/>
        </w:rPr>
        <w:t xml:space="preserve">6.1 </w:t>
        <w:tab/>
        <w:t xml:space="preserve">The Authority should use Electronic Flight Bag (EFB) Approval Checklist – TCAA-CL-GEN101 to conduct a review of the application submitted by an operator.  </w:t>
      </w:r>
    </w:p>
    <w:p w:rsidR="00000000" w:rsidDel="00000000" w:rsidP="00000000" w:rsidRDefault="00000000" w:rsidRPr="00000000" w14:paraId="00000039">
      <w:pPr>
        <w:spacing w:after="16" w:line="256" w:lineRule="auto"/>
        <w:ind w:left="720" w:hanging="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6.2 </w:t>
        <w:tab/>
        <w:t xml:space="preserve">Where an operator seeks to start operations with a new EFB system, The Authority should participate in either the simulator evaluation or flight evaluation of an EFB. Additional simulator or flight evaluations are not required for adding a new EFB to an existing approval unless there is a substantial change in EFB-intended functions. When a new aircraft is added to an existing EFB approval, the suitability of the EFB for that aircraft must be addressed. The Authority should examine the technical content and quality of the proposed EFB programme and other supporting documents and procedures. </w:t>
      </w:r>
    </w:p>
    <w:p w:rsidR="00000000" w:rsidDel="00000000" w:rsidP="00000000" w:rsidRDefault="00000000" w:rsidRPr="00000000" w14:paraId="0000003A">
      <w:pPr>
        <w:spacing w:after="16" w:line="256" w:lineRule="auto"/>
        <w:ind w:left="720" w:hanging="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B">
      <w:pPr>
        <w:spacing w:after="16" w:line="256" w:lineRule="auto"/>
        <w:ind w:left="720" w:hanging="720"/>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rtl w:val="0"/>
        </w:rPr>
        <w:t xml:space="preserve">7.0</w:t>
      </w: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color w:val="000000"/>
          <w:rtl w:val="0"/>
        </w:rPr>
        <w:t xml:space="preserve">OPERATIONAL EVALUATION (PHASE 4) </w:t>
      </w:r>
    </w:p>
    <w:p w:rsidR="00000000" w:rsidDel="00000000" w:rsidP="00000000" w:rsidRDefault="00000000" w:rsidRPr="00000000" w14:paraId="0000003C">
      <w:pPr>
        <w:spacing w:after="16" w:line="256" w:lineRule="auto"/>
        <w:ind w:left="720" w:hanging="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D">
      <w:pPr>
        <w:ind w:left="720" w:hanging="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7.1 </w:t>
        <w:tab/>
        <w:t xml:space="preserve">The operator should conduct an operational evaluation that verifies whether the above elements have been satisfied. The operator should notify The Authority of its intention to conduct an operational evaluation by sending a plan and should keep a receipt of this notification in the aircraft during the test period.  </w:t>
      </w:r>
    </w:p>
    <w:p w:rsidR="00000000" w:rsidDel="00000000" w:rsidP="00000000" w:rsidRDefault="00000000" w:rsidRPr="00000000" w14:paraId="0000003E">
      <w:pPr>
        <w:ind w:left="720" w:hanging="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7.2 </w:t>
        <w:tab/>
        <w:t xml:space="preserve">During this validation phase, operators transitioning from paper to EFB should maintain paper backup for all electronic information. The validation phase begins when the operator formally begins use of the EFB combined with paper backup for an established period of time. TCAA-AC-GEN101 and TCAA-CL-GEN101 may be used for data collection during the validation phase. </w:t>
      </w:r>
    </w:p>
    <w:p w:rsidR="00000000" w:rsidDel="00000000" w:rsidP="00000000" w:rsidRDefault="00000000" w:rsidRPr="00000000" w14:paraId="0000003F">
      <w:pPr>
        <w:spacing w:after="16" w:line="256" w:lineRule="auto"/>
        <w:ind w:left="720" w:hanging="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0">
      <w:pPr>
        <w:ind w:left="720" w:hanging="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7.3 </w:t>
        <w:tab/>
        <w:t xml:space="preserve">Operators starting EFB operations without paper backup should have adequate mitigations means in place to access the information in case of EFB failures. </w:t>
      </w:r>
    </w:p>
    <w:p w:rsidR="00000000" w:rsidDel="00000000" w:rsidP="00000000" w:rsidRDefault="00000000" w:rsidRPr="00000000" w14:paraId="00000041">
      <w:pPr>
        <w:spacing w:after="16" w:line="256" w:lineRule="auto"/>
        <w:ind w:left="720" w:hanging="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7.4 </w:t>
        <w:tab/>
        <w:t xml:space="preserve">Final items for The Authority to consider are as follows: </w:t>
      </w:r>
    </w:p>
    <w:p w:rsidR="00000000" w:rsidDel="00000000" w:rsidP="00000000" w:rsidRDefault="00000000" w:rsidRPr="00000000" w14:paraId="00000042">
      <w:pPr>
        <w:spacing w:after="16" w:line="256" w:lineRule="auto"/>
        <w:ind w:left="720" w:hanging="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3">
      <w:pPr>
        <w:numPr>
          <w:ilvl w:val="0"/>
          <w:numId w:val="3"/>
        </w:numPr>
        <w:spacing w:after="11" w:line="268" w:lineRule="auto"/>
        <w:ind w:left="1170" w:hanging="45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i w:val="1"/>
          <w:iCs w:val="1"/>
          <w:rtl w:val="0"/>
        </w:rPr>
        <w:t xml:space="preserve">Unacceptable validation results</w:t>
      </w:r>
      <w:r w:rsidDel="00000000" w:rsidR="00000000" w:rsidRPr="00000000">
        <w:rPr>
          <w:rFonts w:ascii="Times New Roman" w:cs="Times New Roman" w:eastAsia="Times New Roman" w:hAnsi="Times New Roman"/>
          <w:rtl w:val="0"/>
        </w:rPr>
        <w:t xml:space="preserve">. If the Authority finds the proposed EFB reliability and/or function to be unacceptable, the Authority should contact the operator for corrective action. EFB deficiencies should be corrected and the EFB function revalidated prior to approval being issued. </w:t>
      </w:r>
    </w:p>
    <w:p w:rsidR="00000000" w:rsidDel="00000000" w:rsidP="00000000" w:rsidRDefault="00000000" w:rsidRPr="00000000" w14:paraId="00000044">
      <w:pPr>
        <w:numPr>
          <w:ilvl w:val="0"/>
          <w:numId w:val="3"/>
        </w:numPr>
        <w:spacing w:after="16" w:line="256" w:lineRule="auto"/>
        <w:ind w:left="1170" w:hanging="45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i w:val="1"/>
          <w:iCs w:val="1"/>
          <w:rtl w:val="0"/>
        </w:rPr>
        <w:t xml:space="preserve">Acceptable validation results</w:t>
      </w:r>
      <w:r w:rsidDel="00000000" w:rsidR="00000000" w:rsidRPr="00000000">
        <w:rPr>
          <w:rFonts w:ascii="Times New Roman" w:cs="Times New Roman" w:eastAsia="Times New Roman" w:hAnsi="Times New Roman"/>
          <w:rtl w:val="0"/>
        </w:rPr>
        <w:t xml:space="preserve">. If the Authority finds the proposed EFB reliability and/or function to be acceptable based on validation data, then the specific approval may be issued.  </w:t>
      </w:r>
    </w:p>
    <w:p w:rsidR="00000000" w:rsidDel="00000000" w:rsidP="00000000" w:rsidRDefault="00000000" w:rsidRPr="00000000" w14:paraId="00000045">
      <w:pPr>
        <w:spacing w:after="16" w:line="256" w:lineRule="auto"/>
        <w:ind w:left="720" w:hanging="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6">
      <w:pPr>
        <w:keepNext w:val="1"/>
        <w:keepLines w:val="1"/>
        <w:spacing w:after="5" w:line="268" w:lineRule="auto"/>
        <w:ind w:left="720" w:right="52" w:hanging="720"/>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8.0 </w:t>
        <w:tab/>
        <w:t xml:space="preserve">ISSUANCE OF EFB OPERATIONS SPECIFICATIONS AND APPROVAL (PHASE 5) </w:t>
      </w:r>
    </w:p>
    <w:p w:rsidR="00000000" w:rsidDel="00000000" w:rsidP="00000000" w:rsidRDefault="00000000" w:rsidRPr="00000000" w14:paraId="00000047">
      <w:pPr>
        <w:spacing w:after="16" w:line="256" w:lineRule="auto"/>
        <w:ind w:left="720" w:hanging="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8">
      <w:pP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Authority will grant a specific EFB approval to the operator should update the operations specifications with an EFB entry. The operations specifications will reference the location in the operations manual where more details of the approved EFB applications can be found.</w:t>
      </w:r>
    </w:p>
    <w:p w:rsidR="00000000" w:rsidDel="00000000" w:rsidP="00000000" w:rsidRDefault="00000000" w:rsidRPr="00000000" w14:paraId="00000049">
      <w:pPr>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A">
      <w:pPr>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B">
      <w:pPr>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C">
      <w:pPr>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D">
      <w:pPr>
        <w:spacing w:after="16"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E">
      <w:pPr>
        <w:spacing w:after="16"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1906</wp:posOffset>
            </wp:positionH>
            <wp:positionV relativeFrom="paragraph">
              <wp:posOffset>4445</wp:posOffset>
            </wp:positionV>
            <wp:extent cx="1400810" cy="586740"/>
            <wp:effectExtent b="0" l="0" r="0" t="0"/>
            <wp:wrapNone/>
            <wp:docPr id="1346217037"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400810" cy="586740"/>
                    </a:xfrm>
                    <a:prstGeom prst="rect"/>
                    <a:ln/>
                  </pic:spPr>
                </pic:pic>
              </a:graphicData>
            </a:graphic>
          </wp:anchor>
        </w:drawing>
      </w:r>
    </w:p>
    <w:p w:rsidR="00000000" w:rsidDel="00000000" w:rsidP="00000000" w:rsidRDefault="00000000" w:rsidRPr="00000000" w14:paraId="0000004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w:t>
      </w:r>
    </w:p>
    <w:p w:rsidR="00000000" w:rsidDel="00000000" w:rsidP="00000000" w:rsidRDefault="00000000" w:rsidRPr="00000000" w14:paraId="00000051">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Director Safety Regulations</w:t>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Courier New"/>
  <w:font w:name="Georgia"/>
  <w:font w:name="Arial"/>
  <w:font w:name="Arial Black">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2"/>
      <w:tblW w:w="977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67"/>
      <w:gridCol w:w="3454"/>
      <w:gridCol w:w="3057"/>
      <w:tblGridChange w:id="0">
        <w:tblGrid>
          <w:gridCol w:w="3267"/>
          <w:gridCol w:w="3454"/>
          <w:gridCol w:w="3057"/>
        </w:tblGrid>
      </w:tblGridChange>
    </w:tblGrid>
    <w:tr>
      <w:trPr>
        <w:cantSplit w:val="0"/>
        <w:tblHeader w:val="1"/>
      </w:trPr>
      <w:tc>
        <w:tcPr/>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bookmarkStart w:colFirst="0" w:colLast="0" w:name="_heading=h.6gc5s9n4yi7e" w:id="4"/>
          <w:bookmarkEnd w:id="4"/>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TCAA-AC-GEN025</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September 2025</w:t>
          </w:r>
        </w:p>
      </w:tc>
      <w:tc>
        <w:tcPr/>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6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Page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of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bl>
    <w:tblPr>
      <w:tblStyle w:val="Table1"/>
      <w:tblW w:w="11051.0" w:type="dxa"/>
      <w:jc w:val="left"/>
      <w:tblInd w:w="-9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70"/>
      <w:gridCol w:w="4880"/>
      <w:gridCol w:w="2701"/>
      <w:tblGridChange w:id="0">
        <w:tblGrid>
          <w:gridCol w:w="3470"/>
          <w:gridCol w:w="4880"/>
          <w:gridCol w:w="2701"/>
        </w:tblGrid>
      </w:tblGridChange>
    </w:tblGrid>
    <w:tr>
      <w:trPr>
        <w:cantSplit w:val="0"/>
        <w:trHeight w:val="1049" w:hRule="atLeast"/>
        <w:tblHeader w:val="0"/>
      </w:trPr>
      <w:tc>
        <w:tcPr/>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drawing>
              <wp:inline distB="0" distT="0" distL="0" distR="0">
                <wp:extent cx="1143000" cy="595630"/>
                <wp:effectExtent b="0" l="0" r="0" t="0"/>
                <wp:docPr descr="A blue and orange logo&#10;&#10;AI-generated content may be incorrect." id="1346217038" name="image1.png"/>
                <a:graphic>
                  <a:graphicData uri="http://schemas.openxmlformats.org/drawingml/2006/picture">
                    <pic:pic>
                      <pic:nvPicPr>
                        <pic:cNvPr descr="A blue and orange logo&#10;&#10;AI-generated content may be incorrect." id="0" name="image1.png"/>
                        <pic:cNvPicPr preferRelativeResize="0"/>
                      </pic:nvPicPr>
                      <pic:blipFill>
                        <a:blip r:embed="rId1"/>
                        <a:srcRect b="23553" l="6546" r="3527" t="1654"/>
                        <a:stretch>
                          <a:fillRect/>
                        </a:stretch>
                      </pic:blipFill>
                      <pic:spPr>
                        <a:xfrm>
                          <a:off x="0" y="0"/>
                          <a:ext cx="1143000" cy="59563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TANZANIA CIVIL AVIATION AUTHORITY</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DIRECTORATE OF SAFETY REGULATIONS</w:t>
          </w:r>
        </w:p>
      </w:tc>
      <w:tc>
        <w:tcPr>
          <w:shd w:fill="cfe2f3" w:val="clear"/>
        </w:tcPr>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Revision: 1</w:t>
          </w:r>
        </w:p>
        <w:p w:rsidR="00000000" w:rsidDel="00000000" w:rsidP="00000000" w:rsidRDefault="00000000" w:rsidRPr="00000000" w14:paraId="00000057">
          <w:pPr>
            <w:jc w:val="center"/>
            <w:rPr>
              <w:rFonts w:ascii="Arial Black" w:cs="Arial Black" w:eastAsia="Arial Black" w:hAnsi="Arial Black"/>
              <w:sz w:val="24"/>
              <w:szCs w:val="24"/>
            </w:rPr>
          </w:pPr>
          <w:r w:rsidDel="00000000" w:rsidR="00000000" w:rsidRPr="00000000">
            <w:rPr>
              <w:rFonts w:ascii="Arial Black" w:cs="Arial Black" w:eastAsia="Arial Black" w:hAnsi="Arial Black"/>
              <w:sz w:val="24"/>
              <w:szCs w:val="24"/>
              <w:rtl w:val="0"/>
            </w:rPr>
            <w:t xml:space="preserve">Advisory Circular</w:t>
          </w:r>
        </w:p>
      </w:tc>
    </w:tr>
    <w:tr>
      <w:trPr>
        <w:cantSplit w:val="0"/>
        <w:trHeight w:val="338" w:hRule="atLeast"/>
        <w:tblHeader w:val="0"/>
      </w:trPr>
      <w:tc>
        <w:tcPr>
          <w:shd w:fill="cfe2f3" w:val="clear"/>
        </w:tcPr>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360" w:firstLine="0"/>
            <w:jc w:val="left"/>
            <w:rPr>
              <w:rFonts w:ascii="Courier New" w:cs="Courier New" w:eastAsia="Courier New" w:hAnsi="Courier New"/>
              <w:b w:val="0"/>
              <w:bCs w:val="0"/>
              <w:i w:val="0"/>
              <w:iCs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1"/>
              <w:bCs w:val="1"/>
              <w:i w:val="0"/>
              <w:iCs w:val="0"/>
              <w:smallCaps w:val="0"/>
              <w:strike w:val="0"/>
              <w:color w:val="000000"/>
              <w:sz w:val="24"/>
              <w:szCs w:val="24"/>
              <w:u w:val="none"/>
              <w:shd w:fill="auto" w:val="clear"/>
              <w:vertAlign w:val="baseline"/>
              <w:rtl w:val="0"/>
            </w:rPr>
            <w:t xml:space="preserve">Doc No: TCAA-AC-GEN025</w:t>
          </w:r>
          <w:r w:rsidDel="00000000" w:rsidR="00000000" w:rsidRPr="00000000">
            <w:rPr>
              <w:rtl w:val="0"/>
            </w:rPr>
          </w:r>
        </w:p>
      </w:tc>
      <w:tc>
        <w:tcPr>
          <w:shd w:fill="cfe2f3" w:val="clear"/>
        </w:tcPr>
        <w:p w:rsidR="00000000" w:rsidDel="00000000" w:rsidP="00000000" w:rsidRDefault="00000000" w:rsidRPr="00000000" w14:paraId="00000059">
          <w:pPr>
            <w:keepNext w:val="0"/>
            <w:keepLines w:val="0"/>
            <w:pageBreakBefore w:val="0"/>
            <w:widowControl w:val="1"/>
            <w:pBdr>
              <w:top w:color="000000" w:space="1" w:sz="18" w:val="single"/>
              <w:left w:space="0" w:sz="0" w:val="nil"/>
              <w:bottom w:space="0" w:sz="0" w:val="nil"/>
              <w:right w:space="0" w:sz="0" w:val="nil"/>
              <w:between w:space="0" w:sz="0" w:val="nil"/>
            </w:pBdr>
            <w:shd w:fill="auto" w:val="clear"/>
            <w:spacing w:after="0" w:before="0" w:line="240" w:lineRule="auto"/>
            <w:ind w:left="0" w:right="0" w:hanging="16"/>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1"/>
              <w:bCs w:val="1"/>
              <w:i w:val="0"/>
              <w:iCs w:val="0"/>
              <w:smallCaps w:val="0"/>
              <w:strike w:val="0"/>
              <w:color w:val="000000"/>
              <w:sz w:val="24"/>
              <w:szCs w:val="24"/>
              <w:u w:val="none"/>
              <w:shd w:fill="auto" w:val="clear"/>
              <w:vertAlign w:val="baseline"/>
              <w:rtl w:val="0"/>
            </w:rPr>
            <w:t xml:space="preserve">Title: ELECTRONIC FLIGHT BAG (EFB) CERTIFICATION PROCESS</w:t>
          </w:r>
          <w:r w:rsidDel="00000000" w:rsidR="00000000" w:rsidRPr="00000000">
            <w:rPr>
              <w:rtl w:val="0"/>
            </w:rPr>
          </w:r>
        </w:p>
      </w:tc>
      <w:tc>
        <w:tcPr>
          <w:shd w:fill="cfe2f3" w:val="clear"/>
        </w:tcPr>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Page </w:t>
          </w: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 of </w:t>
          </w: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360" w:firstLine="0"/>
      </w:pPr>
      <w:rPr>
        <w:rFonts w:ascii="Arial" w:cs="Arial" w:eastAsia="Arial" w:hAnsi="Arial"/>
        <w:b w:val="0"/>
        <w:bCs w:val="0"/>
        <w:i w:val="0"/>
        <w:iCs w:val="0"/>
        <w:strike w:val="0"/>
        <w:color w:val="000000"/>
        <w:sz w:val="24"/>
        <w:szCs w:val="24"/>
        <w:u w:val="none"/>
        <w:vertAlign w:val="baseline"/>
      </w:rPr>
    </w:lvl>
    <w:lvl w:ilvl="1">
      <w:start w:val="1"/>
      <w:numFmt w:val="lowerLetter"/>
      <w:lvlText w:val="%2"/>
      <w:lvlJc w:val="left"/>
      <w:pPr>
        <w:ind w:left="2160" w:firstLine="0"/>
      </w:pPr>
      <w:rPr>
        <w:rFonts w:ascii="Arial" w:cs="Arial" w:eastAsia="Arial" w:hAnsi="Arial"/>
        <w:b w:val="0"/>
        <w:bCs w:val="0"/>
        <w:i w:val="0"/>
        <w:iCs w:val="0"/>
        <w:strike w:val="0"/>
        <w:color w:val="000000"/>
        <w:sz w:val="18"/>
        <w:szCs w:val="18"/>
        <w:u w:val="none"/>
        <w:vertAlign w:val="baseline"/>
      </w:rPr>
    </w:lvl>
    <w:lvl w:ilvl="2">
      <w:start w:val="1"/>
      <w:numFmt w:val="lowerRoman"/>
      <w:lvlText w:val="%3"/>
      <w:lvlJc w:val="left"/>
      <w:pPr>
        <w:ind w:left="2880" w:firstLine="0"/>
      </w:pPr>
      <w:rPr>
        <w:rFonts w:ascii="Arial" w:cs="Arial" w:eastAsia="Arial" w:hAnsi="Arial"/>
        <w:b w:val="0"/>
        <w:bCs w:val="0"/>
        <w:i w:val="0"/>
        <w:iCs w:val="0"/>
        <w:strike w:val="0"/>
        <w:color w:val="000000"/>
        <w:sz w:val="18"/>
        <w:szCs w:val="18"/>
        <w:u w:val="none"/>
        <w:vertAlign w:val="baseline"/>
      </w:rPr>
    </w:lvl>
    <w:lvl w:ilvl="3">
      <w:start w:val="1"/>
      <w:numFmt w:val="decimal"/>
      <w:lvlText w:val="%4"/>
      <w:lvlJc w:val="left"/>
      <w:pPr>
        <w:ind w:left="3600" w:firstLine="0"/>
      </w:pPr>
      <w:rPr>
        <w:rFonts w:ascii="Arial" w:cs="Arial" w:eastAsia="Arial" w:hAnsi="Arial"/>
        <w:b w:val="0"/>
        <w:bCs w:val="0"/>
        <w:i w:val="0"/>
        <w:iCs w:val="0"/>
        <w:strike w:val="0"/>
        <w:color w:val="000000"/>
        <w:sz w:val="18"/>
        <w:szCs w:val="18"/>
        <w:u w:val="none"/>
        <w:vertAlign w:val="baseline"/>
      </w:rPr>
    </w:lvl>
    <w:lvl w:ilvl="4">
      <w:start w:val="1"/>
      <w:numFmt w:val="lowerLetter"/>
      <w:lvlText w:val="%5"/>
      <w:lvlJc w:val="left"/>
      <w:pPr>
        <w:ind w:left="4320" w:firstLine="0"/>
      </w:pPr>
      <w:rPr>
        <w:rFonts w:ascii="Arial" w:cs="Arial" w:eastAsia="Arial" w:hAnsi="Arial"/>
        <w:b w:val="0"/>
        <w:bCs w:val="0"/>
        <w:i w:val="0"/>
        <w:iCs w:val="0"/>
        <w:strike w:val="0"/>
        <w:color w:val="000000"/>
        <w:sz w:val="18"/>
        <w:szCs w:val="18"/>
        <w:u w:val="none"/>
        <w:vertAlign w:val="baseline"/>
      </w:rPr>
    </w:lvl>
    <w:lvl w:ilvl="5">
      <w:start w:val="1"/>
      <w:numFmt w:val="lowerRoman"/>
      <w:lvlText w:val="%6"/>
      <w:lvlJc w:val="left"/>
      <w:pPr>
        <w:ind w:left="5040" w:firstLine="0"/>
      </w:pPr>
      <w:rPr>
        <w:rFonts w:ascii="Arial" w:cs="Arial" w:eastAsia="Arial" w:hAnsi="Arial"/>
        <w:b w:val="0"/>
        <w:bCs w:val="0"/>
        <w:i w:val="0"/>
        <w:iCs w:val="0"/>
        <w:strike w:val="0"/>
        <w:color w:val="000000"/>
        <w:sz w:val="18"/>
        <w:szCs w:val="18"/>
        <w:u w:val="none"/>
        <w:vertAlign w:val="baseline"/>
      </w:rPr>
    </w:lvl>
    <w:lvl w:ilvl="6">
      <w:start w:val="1"/>
      <w:numFmt w:val="decimal"/>
      <w:lvlText w:val="%7"/>
      <w:lvlJc w:val="left"/>
      <w:pPr>
        <w:ind w:left="5760" w:firstLine="0"/>
      </w:pPr>
      <w:rPr>
        <w:rFonts w:ascii="Arial" w:cs="Arial" w:eastAsia="Arial" w:hAnsi="Arial"/>
        <w:b w:val="0"/>
        <w:bCs w:val="0"/>
        <w:i w:val="0"/>
        <w:iCs w:val="0"/>
        <w:strike w:val="0"/>
        <w:color w:val="000000"/>
        <w:sz w:val="18"/>
        <w:szCs w:val="18"/>
        <w:u w:val="none"/>
        <w:vertAlign w:val="baseline"/>
      </w:rPr>
    </w:lvl>
    <w:lvl w:ilvl="7">
      <w:start w:val="1"/>
      <w:numFmt w:val="lowerLetter"/>
      <w:lvlText w:val="%8"/>
      <w:lvlJc w:val="left"/>
      <w:pPr>
        <w:ind w:left="6480" w:firstLine="0"/>
      </w:pPr>
      <w:rPr>
        <w:rFonts w:ascii="Arial" w:cs="Arial" w:eastAsia="Arial" w:hAnsi="Arial"/>
        <w:b w:val="0"/>
        <w:bCs w:val="0"/>
        <w:i w:val="0"/>
        <w:iCs w:val="0"/>
        <w:strike w:val="0"/>
        <w:color w:val="000000"/>
        <w:sz w:val="18"/>
        <w:szCs w:val="18"/>
        <w:u w:val="none"/>
        <w:vertAlign w:val="baseline"/>
      </w:rPr>
    </w:lvl>
    <w:lvl w:ilvl="8">
      <w:start w:val="1"/>
      <w:numFmt w:val="lowerRoman"/>
      <w:lvlText w:val="%9"/>
      <w:lvlJc w:val="left"/>
      <w:pPr>
        <w:ind w:left="7200" w:firstLine="0"/>
      </w:pPr>
      <w:rPr>
        <w:rFonts w:ascii="Arial" w:cs="Arial" w:eastAsia="Arial" w:hAnsi="Arial"/>
        <w:b w:val="0"/>
        <w:bCs w:val="0"/>
        <w:i w:val="0"/>
        <w:iCs w:val="0"/>
        <w:strike w:val="0"/>
        <w:color w:val="000000"/>
        <w:sz w:val="18"/>
        <w:szCs w:val="18"/>
        <w:u w:val="none"/>
        <w:vertAlign w:val="baseline"/>
      </w:rPr>
    </w:lvl>
  </w:abstractNum>
  <w:abstractNum w:abstractNumId="2">
    <w:lvl w:ilvl="0">
      <w:start w:val="1"/>
      <w:numFmt w:val="lowerLetter"/>
      <w:lvlText w:val="%1)"/>
      <w:lvlJc w:val="left"/>
      <w:pPr>
        <w:ind w:left="360" w:firstLine="0"/>
      </w:pPr>
      <w:rPr>
        <w:rFonts w:ascii="Arial" w:cs="Arial" w:eastAsia="Arial" w:hAnsi="Arial"/>
        <w:b w:val="0"/>
        <w:bCs w:val="0"/>
        <w:i w:val="0"/>
        <w:iCs w:val="0"/>
        <w:strike w:val="0"/>
        <w:color w:val="000000"/>
        <w:sz w:val="24"/>
        <w:szCs w:val="24"/>
        <w:u w:val="none"/>
        <w:vertAlign w:val="baseline"/>
      </w:rPr>
    </w:lvl>
    <w:lvl w:ilvl="1">
      <w:start w:val="1"/>
      <w:numFmt w:val="lowerLetter"/>
      <w:lvlText w:val="%2"/>
      <w:lvlJc w:val="left"/>
      <w:pPr>
        <w:ind w:left="2160" w:firstLine="0"/>
      </w:pPr>
      <w:rPr>
        <w:rFonts w:ascii="Arial" w:cs="Arial" w:eastAsia="Arial" w:hAnsi="Arial"/>
        <w:b w:val="0"/>
        <w:bCs w:val="0"/>
        <w:i w:val="0"/>
        <w:iCs w:val="0"/>
        <w:strike w:val="0"/>
        <w:color w:val="000000"/>
        <w:sz w:val="18"/>
        <w:szCs w:val="18"/>
        <w:u w:val="none"/>
        <w:vertAlign w:val="baseline"/>
      </w:rPr>
    </w:lvl>
    <w:lvl w:ilvl="2">
      <w:start w:val="1"/>
      <w:numFmt w:val="lowerRoman"/>
      <w:lvlText w:val="%3"/>
      <w:lvlJc w:val="left"/>
      <w:pPr>
        <w:ind w:left="2880" w:firstLine="0"/>
      </w:pPr>
      <w:rPr>
        <w:rFonts w:ascii="Arial" w:cs="Arial" w:eastAsia="Arial" w:hAnsi="Arial"/>
        <w:b w:val="0"/>
        <w:bCs w:val="0"/>
        <w:i w:val="0"/>
        <w:iCs w:val="0"/>
        <w:strike w:val="0"/>
        <w:color w:val="000000"/>
        <w:sz w:val="18"/>
        <w:szCs w:val="18"/>
        <w:u w:val="none"/>
        <w:vertAlign w:val="baseline"/>
      </w:rPr>
    </w:lvl>
    <w:lvl w:ilvl="3">
      <w:start w:val="1"/>
      <w:numFmt w:val="decimal"/>
      <w:lvlText w:val="%4"/>
      <w:lvlJc w:val="left"/>
      <w:pPr>
        <w:ind w:left="3600" w:firstLine="0"/>
      </w:pPr>
      <w:rPr>
        <w:rFonts w:ascii="Arial" w:cs="Arial" w:eastAsia="Arial" w:hAnsi="Arial"/>
        <w:b w:val="0"/>
        <w:bCs w:val="0"/>
        <w:i w:val="0"/>
        <w:iCs w:val="0"/>
        <w:strike w:val="0"/>
        <w:color w:val="000000"/>
        <w:sz w:val="18"/>
        <w:szCs w:val="18"/>
        <w:u w:val="none"/>
        <w:vertAlign w:val="baseline"/>
      </w:rPr>
    </w:lvl>
    <w:lvl w:ilvl="4">
      <w:start w:val="1"/>
      <w:numFmt w:val="lowerLetter"/>
      <w:lvlText w:val="%5"/>
      <w:lvlJc w:val="left"/>
      <w:pPr>
        <w:ind w:left="4320" w:firstLine="0"/>
      </w:pPr>
      <w:rPr>
        <w:rFonts w:ascii="Arial" w:cs="Arial" w:eastAsia="Arial" w:hAnsi="Arial"/>
        <w:b w:val="0"/>
        <w:bCs w:val="0"/>
        <w:i w:val="0"/>
        <w:iCs w:val="0"/>
        <w:strike w:val="0"/>
        <w:color w:val="000000"/>
        <w:sz w:val="18"/>
        <w:szCs w:val="18"/>
        <w:u w:val="none"/>
        <w:vertAlign w:val="baseline"/>
      </w:rPr>
    </w:lvl>
    <w:lvl w:ilvl="5">
      <w:start w:val="1"/>
      <w:numFmt w:val="lowerRoman"/>
      <w:lvlText w:val="%6"/>
      <w:lvlJc w:val="left"/>
      <w:pPr>
        <w:ind w:left="5040" w:firstLine="0"/>
      </w:pPr>
      <w:rPr>
        <w:rFonts w:ascii="Arial" w:cs="Arial" w:eastAsia="Arial" w:hAnsi="Arial"/>
        <w:b w:val="0"/>
        <w:bCs w:val="0"/>
        <w:i w:val="0"/>
        <w:iCs w:val="0"/>
        <w:strike w:val="0"/>
        <w:color w:val="000000"/>
        <w:sz w:val="18"/>
        <w:szCs w:val="18"/>
        <w:u w:val="none"/>
        <w:vertAlign w:val="baseline"/>
      </w:rPr>
    </w:lvl>
    <w:lvl w:ilvl="6">
      <w:start w:val="1"/>
      <w:numFmt w:val="decimal"/>
      <w:lvlText w:val="%7"/>
      <w:lvlJc w:val="left"/>
      <w:pPr>
        <w:ind w:left="5760" w:firstLine="0"/>
      </w:pPr>
      <w:rPr>
        <w:rFonts w:ascii="Arial" w:cs="Arial" w:eastAsia="Arial" w:hAnsi="Arial"/>
        <w:b w:val="0"/>
        <w:bCs w:val="0"/>
        <w:i w:val="0"/>
        <w:iCs w:val="0"/>
        <w:strike w:val="0"/>
        <w:color w:val="000000"/>
        <w:sz w:val="18"/>
        <w:szCs w:val="18"/>
        <w:u w:val="none"/>
        <w:vertAlign w:val="baseline"/>
      </w:rPr>
    </w:lvl>
    <w:lvl w:ilvl="7">
      <w:start w:val="1"/>
      <w:numFmt w:val="lowerLetter"/>
      <w:lvlText w:val="%8"/>
      <w:lvlJc w:val="left"/>
      <w:pPr>
        <w:ind w:left="6480" w:firstLine="0"/>
      </w:pPr>
      <w:rPr>
        <w:rFonts w:ascii="Arial" w:cs="Arial" w:eastAsia="Arial" w:hAnsi="Arial"/>
        <w:b w:val="0"/>
        <w:bCs w:val="0"/>
        <w:i w:val="0"/>
        <w:iCs w:val="0"/>
        <w:strike w:val="0"/>
        <w:color w:val="000000"/>
        <w:sz w:val="18"/>
        <w:szCs w:val="18"/>
        <w:u w:val="none"/>
        <w:vertAlign w:val="baseline"/>
      </w:rPr>
    </w:lvl>
    <w:lvl w:ilvl="8">
      <w:start w:val="1"/>
      <w:numFmt w:val="lowerRoman"/>
      <w:lvlText w:val="%9"/>
      <w:lvlJc w:val="left"/>
      <w:pPr>
        <w:ind w:left="7200" w:firstLine="0"/>
      </w:pPr>
      <w:rPr>
        <w:rFonts w:ascii="Arial" w:cs="Arial" w:eastAsia="Arial" w:hAnsi="Arial"/>
        <w:b w:val="0"/>
        <w:bCs w:val="0"/>
        <w:i w:val="0"/>
        <w:iCs w:val="0"/>
        <w:strike w:val="0"/>
        <w:color w:val="000000"/>
        <w:sz w:val="18"/>
        <w:szCs w:val="18"/>
        <w:u w:val="none"/>
        <w:vertAlign w:val="baseline"/>
      </w:rPr>
    </w:lvl>
  </w:abstractNum>
  <w:abstractNum w:abstractNumId="3">
    <w:lvl w:ilvl="0">
      <w:start w:val="1"/>
      <w:numFmt w:val="lowerLetter"/>
      <w:lvlText w:val="%1)"/>
      <w:lvlJc w:val="left"/>
      <w:pPr>
        <w:ind w:left="1260" w:firstLine="0"/>
      </w:pPr>
      <w:rPr>
        <w:rFonts w:ascii="Arial" w:cs="Arial" w:eastAsia="Arial" w:hAnsi="Arial"/>
        <w:b w:val="0"/>
        <w:bCs w:val="0"/>
        <w:i w:val="0"/>
        <w:iCs w:val="0"/>
        <w:strike w:val="0"/>
        <w:color w:val="000000"/>
        <w:sz w:val="24"/>
        <w:szCs w:val="24"/>
        <w:u w:val="none"/>
        <w:vertAlign w:val="baseline"/>
      </w:rPr>
    </w:lvl>
    <w:lvl w:ilvl="1">
      <w:start w:val="1"/>
      <w:numFmt w:val="lowerLetter"/>
      <w:lvlText w:val="%2"/>
      <w:lvlJc w:val="left"/>
      <w:pPr>
        <w:ind w:left="3060" w:firstLine="0"/>
      </w:pPr>
      <w:rPr>
        <w:rFonts w:ascii="Arial" w:cs="Arial" w:eastAsia="Arial" w:hAnsi="Arial"/>
        <w:b w:val="0"/>
        <w:bCs w:val="0"/>
        <w:i w:val="0"/>
        <w:iCs w:val="0"/>
        <w:strike w:val="0"/>
        <w:color w:val="000000"/>
        <w:sz w:val="18"/>
        <w:szCs w:val="18"/>
        <w:u w:val="none"/>
        <w:vertAlign w:val="baseline"/>
      </w:rPr>
    </w:lvl>
    <w:lvl w:ilvl="2">
      <w:start w:val="1"/>
      <w:numFmt w:val="lowerRoman"/>
      <w:lvlText w:val="%3"/>
      <w:lvlJc w:val="left"/>
      <w:pPr>
        <w:ind w:left="3780" w:firstLine="0"/>
      </w:pPr>
      <w:rPr>
        <w:rFonts w:ascii="Arial" w:cs="Arial" w:eastAsia="Arial" w:hAnsi="Arial"/>
        <w:b w:val="0"/>
        <w:bCs w:val="0"/>
        <w:i w:val="0"/>
        <w:iCs w:val="0"/>
        <w:strike w:val="0"/>
        <w:color w:val="000000"/>
        <w:sz w:val="18"/>
        <w:szCs w:val="18"/>
        <w:u w:val="none"/>
        <w:vertAlign w:val="baseline"/>
      </w:rPr>
    </w:lvl>
    <w:lvl w:ilvl="3">
      <w:start w:val="1"/>
      <w:numFmt w:val="decimal"/>
      <w:lvlText w:val="%4"/>
      <w:lvlJc w:val="left"/>
      <w:pPr>
        <w:ind w:left="4500" w:firstLine="0"/>
      </w:pPr>
      <w:rPr>
        <w:rFonts w:ascii="Arial" w:cs="Arial" w:eastAsia="Arial" w:hAnsi="Arial"/>
        <w:b w:val="0"/>
        <w:bCs w:val="0"/>
        <w:i w:val="0"/>
        <w:iCs w:val="0"/>
        <w:strike w:val="0"/>
        <w:color w:val="000000"/>
        <w:sz w:val="18"/>
        <w:szCs w:val="18"/>
        <w:u w:val="none"/>
        <w:vertAlign w:val="baseline"/>
      </w:rPr>
    </w:lvl>
    <w:lvl w:ilvl="4">
      <w:start w:val="1"/>
      <w:numFmt w:val="lowerLetter"/>
      <w:lvlText w:val="%5"/>
      <w:lvlJc w:val="left"/>
      <w:pPr>
        <w:ind w:left="5220" w:firstLine="0"/>
      </w:pPr>
      <w:rPr>
        <w:rFonts w:ascii="Arial" w:cs="Arial" w:eastAsia="Arial" w:hAnsi="Arial"/>
        <w:b w:val="0"/>
        <w:bCs w:val="0"/>
        <w:i w:val="0"/>
        <w:iCs w:val="0"/>
        <w:strike w:val="0"/>
        <w:color w:val="000000"/>
        <w:sz w:val="18"/>
        <w:szCs w:val="18"/>
        <w:u w:val="none"/>
        <w:vertAlign w:val="baseline"/>
      </w:rPr>
    </w:lvl>
    <w:lvl w:ilvl="5">
      <w:start w:val="1"/>
      <w:numFmt w:val="lowerRoman"/>
      <w:lvlText w:val="%6"/>
      <w:lvlJc w:val="left"/>
      <w:pPr>
        <w:ind w:left="5940" w:firstLine="0"/>
      </w:pPr>
      <w:rPr>
        <w:rFonts w:ascii="Arial" w:cs="Arial" w:eastAsia="Arial" w:hAnsi="Arial"/>
        <w:b w:val="0"/>
        <w:bCs w:val="0"/>
        <w:i w:val="0"/>
        <w:iCs w:val="0"/>
        <w:strike w:val="0"/>
        <w:color w:val="000000"/>
        <w:sz w:val="18"/>
        <w:szCs w:val="18"/>
        <w:u w:val="none"/>
        <w:vertAlign w:val="baseline"/>
      </w:rPr>
    </w:lvl>
    <w:lvl w:ilvl="6">
      <w:start w:val="1"/>
      <w:numFmt w:val="decimal"/>
      <w:lvlText w:val="%7"/>
      <w:lvlJc w:val="left"/>
      <w:pPr>
        <w:ind w:left="6660" w:firstLine="0"/>
      </w:pPr>
      <w:rPr>
        <w:rFonts w:ascii="Arial" w:cs="Arial" w:eastAsia="Arial" w:hAnsi="Arial"/>
        <w:b w:val="0"/>
        <w:bCs w:val="0"/>
        <w:i w:val="0"/>
        <w:iCs w:val="0"/>
        <w:strike w:val="0"/>
        <w:color w:val="000000"/>
        <w:sz w:val="18"/>
        <w:szCs w:val="18"/>
        <w:u w:val="none"/>
        <w:vertAlign w:val="baseline"/>
      </w:rPr>
    </w:lvl>
    <w:lvl w:ilvl="7">
      <w:start w:val="1"/>
      <w:numFmt w:val="lowerLetter"/>
      <w:lvlText w:val="%8"/>
      <w:lvlJc w:val="left"/>
      <w:pPr>
        <w:ind w:left="7380" w:firstLine="0"/>
      </w:pPr>
      <w:rPr>
        <w:rFonts w:ascii="Arial" w:cs="Arial" w:eastAsia="Arial" w:hAnsi="Arial"/>
        <w:b w:val="0"/>
        <w:bCs w:val="0"/>
        <w:i w:val="0"/>
        <w:iCs w:val="0"/>
        <w:strike w:val="0"/>
        <w:color w:val="000000"/>
        <w:sz w:val="18"/>
        <w:szCs w:val="18"/>
        <w:u w:val="none"/>
        <w:vertAlign w:val="baseline"/>
      </w:rPr>
    </w:lvl>
    <w:lvl w:ilvl="8">
      <w:start w:val="1"/>
      <w:numFmt w:val="lowerRoman"/>
      <w:lvlText w:val="%9"/>
      <w:lvlJc w:val="left"/>
      <w:pPr>
        <w:ind w:left="8100" w:firstLine="0"/>
      </w:pPr>
      <w:rPr>
        <w:rFonts w:ascii="Arial" w:cs="Arial" w:eastAsia="Arial" w:hAnsi="Arial"/>
        <w:b w:val="0"/>
        <w:bCs w:val="0"/>
        <w:i w:val="0"/>
        <w:iCs w:val="0"/>
        <w:strike w:val="0"/>
        <w:color w:val="000000"/>
        <w:sz w:val="18"/>
        <w:szCs w:val="18"/>
        <w:u w:val="none"/>
        <w:vertAlign w:val="baseline"/>
      </w:rPr>
    </w:lvl>
  </w:abstractNum>
  <w:abstractNum w:abstractNumId="4">
    <w:lvl w:ilvl="0">
      <w:start w:val="5"/>
      <w:numFmt w:val="decimal"/>
      <w:lvlText w:val="%1.0"/>
      <w:lvlJc w:val="left"/>
      <w:pPr>
        <w:ind w:left="1080" w:hanging="360"/>
      </w:pPr>
      <w:rPr/>
    </w:lvl>
    <w:lvl w:ilvl="1">
      <w:start w:val="1"/>
      <w:numFmt w:val="decimal"/>
      <w:lvlText w:val="%1.%2"/>
      <w:lvlJc w:val="left"/>
      <w:pPr>
        <w:ind w:left="1800" w:hanging="360"/>
      </w:pPr>
      <w:rPr/>
    </w:lvl>
    <w:lvl w:ilvl="2">
      <w:start w:val="1"/>
      <w:numFmt w:val="decimal"/>
      <w:lvlText w:val="%1.%2.%3"/>
      <w:lvlJc w:val="left"/>
      <w:pPr>
        <w:ind w:left="2880" w:hanging="720"/>
      </w:pPr>
      <w:rPr/>
    </w:lvl>
    <w:lvl w:ilvl="3">
      <w:start w:val="1"/>
      <w:numFmt w:val="decimal"/>
      <w:lvlText w:val="%1.%2.%3.%4"/>
      <w:lvlJc w:val="left"/>
      <w:pPr>
        <w:ind w:left="3960" w:hanging="1080"/>
      </w:pPr>
      <w:rPr/>
    </w:lvl>
    <w:lvl w:ilvl="4">
      <w:start w:val="1"/>
      <w:numFmt w:val="decimal"/>
      <w:lvlText w:val="%1.%2.%3.%4.%5"/>
      <w:lvlJc w:val="left"/>
      <w:pPr>
        <w:ind w:left="4680" w:hanging="1080"/>
      </w:pPr>
      <w:rPr/>
    </w:lvl>
    <w:lvl w:ilvl="5">
      <w:start w:val="1"/>
      <w:numFmt w:val="decimal"/>
      <w:lvlText w:val="%1.%2.%3.%4.%5.%6"/>
      <w:lvlJc w:val="left"/>
      <w:pPr>
        <w:ind w:left="5760" w:hanging="1440"/>
      </w:pPr>
      <w:rPr/>
    </w:lvl>
    <w:lvl w:ilvl="6">
      <w:start w:val="1"/>
      <w:numFmt w:val="decimal"/>
      <w:lvlText w:val="%1.%2.%3.%4.%5.%6.%7"/>
      <w:lvlJc w:val="left"/>
      <w:pPr>
        <w:ind w:left="6480" w:hanging="1440"/>
      </w:pPr>
      <w:rPr/>
    </w:lvl>
    <w:lvl w:ilvl="7">
      <w:start w:val="1"/>
      <w:numFmt w:val="decimal"/>
      <w:lvlText w:val="%1.%2.%3.%4.%5.%6.%7.%8"/>
      <w:lvlJc w:val="left"/>
      <w:pPr>
        <w:ind w:left="7560" w:hanging="1800"/>
      </w:pPr>
      <w:rPr/>
    </w:lvl>
    <w:lvl w:ilvl="8">
      <w:start w:val="1"/>
      <w:numFmt w:val="decimal"/>
      <w:lvlText w:val="%1.%2.%3.%4.%5.%6.%7.%8.%9"/>
      <w:lvlJc w:val="left"/>
      <w:pPr>
        <w:ind w:left="8280" w:hanging="1800"/>
      </w:pPr>
      <w:rPr/>
    </w:lvl>
  </w:abstractNum>
  <w:abstractNum w:abstractNumId="5">
    <w:lvl w:ilvl="0">
      <w:start w:val="2"/>
      <w:numFmt w:val="decimal"/>
      <w:lvlText w:val="%1"/>
      <w:lvlJc w:val="left"/>
      <w:pPr>
        <w:ind w:left="720" w:hanging="720"/>
      </w:pPr>
      <w:rPr/>
    </w:lvl>
    <w:lvl w:ilvl="1">
      <w:start w:val="1"/>
      <w:numFmt w:val="decimal"/>
      <w:lvlText w:val="%1.%2"/>
      <w:lvlJc w:val="left"/>
      <w:pPr>
        <w:ind w:left="720" w:hanging="72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tabs>
        <w:tab w:val="left" w:leader="none" w:pos="0"/>
      </w:tabs>
      <w:spacing w:after="0" w:line="240" w:lineRule="auto"/>
      <w:ind w:firstLine="360"/>
      <w:jc w:val="center"/>
    </w:pPr>
    <w:rPr>
      <w:rFonts w:ascii="Times New Roman" w:cs="Times New Roman" w:eastAsia="Times New Roman" w:hAnsi="Times New Roman"/>
      <w:sz w:val="20"/>
      <w:szCs w:val="20"/>
    </w:rPr>
  </w:style>
  <w:style w:type="paragraph" w:styleId="Heading3">
    <w:name w:val="heading 3"/>
    <w:basedOn w:val="Normal"/>
    <w:next w:val="Normal"/>
    <w:pPr>
      <w:keepNext w:val="1"/>
      <w:tabs>
        <w:tab w:val="left" w:leader="none" w:pos="0"/>
      </w:tabs>
      <w:spacing w:after="0" w:line="240" w:lineRule="auto"/>
      <w:ind w:firstLine="360"/>
      <w:jc w:val="right"/>
    </w:pPr>
    <w:rPr>
      <w:rFonts w:ascii="Times New Roman" w:cs="Times New Roman" w:eastAsia="Times New Roman" w:hAnsi="Times New Roman"/>
      <w:sz w:val="20"/>
      <w:szCs w:val="20"/>
    </w:rPr>
  </w:style>
  <w:style w:type="paragraph" w:styleId="Heading4">
    <w:name w:val="heading 4"/>
    <w:basedOn w:val="Normal"/>
    <w:next w:val="Normal"/>
    <w:pPr>
      <w:keepNext w:val="1"/>
      <w:keepLines w:val="1"/>
      <w:spacing w:after="0" w:before="40" w:lineRule="auto"/>
    </w:pPr>
    <w:rPr>
      <w:rFonts w:ascii="Calibri" w:cs="Calibri" w:eastAsia="Calibri" w:hAnsi="Calibri"/>
      <w:i w:val="1"/>
      <w:iCs w:val="1"/>
      <w:color w:val="2e75b5"/>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tabs>
        <w:tab w:val="left" w:leader="none" w:pos="0"/>
      </w:tabs>
      <w:spacing w:after="0" w:line="240" w:lineRule="auto"/>
      <w:ind w:right="-180"/>
      <w:jc w:val="center"/>
    </w:pPr>
    <w:rPr>
      <w:rFonts w:ascii="Courier New" w:cs="Courier New" w:eastAsia="Courier New" w:hAnsi="Courier New"/>
      <w:b w:val="1"/>
      <w:bCs w:val="1"/>
      <w:sz w:val="24"/>
      <w:szCs w:val="24"/>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5C2F69"/>
    <w:pPr>
      <w:tabs>
        <w:tab w:val="center" w:pos="4680"/>
        <w:tab w:val="right" w:pos="9360"/>
      </w:tabs>
      <w:spacing w:after="0" w:line="240" w:lineRule="auto"/>
    </w:pPr>
  </w:style>
  <w:style w:type="character" w:styleId="HeaderChar" w:customStyle="1">
    <w:name w:val="Header Char"/>
    <w:basedOn w:val="DefaultParagraphFont"/>
    <w:link w:val="Header"/>
    <w:uiPriority w:val="99"/>
    <w:rsid w:val="005C2F69"/>
    <w:rPr>
      <w:rFonts w:ascii="Calibri" w:cs="Times New Roman" w:eastAsia="Times New Roman" w:hAnsi="Calibri"/>
    </w:rPr>
  </w:style>
  <w:style w:type="paragraph" w:styleId="BlockText">
    <w:name w:val="Block Text"/>
    <w:basedOn w:val="Normal"/>
    <w:rsid w:val="005C2F69"/>
    <w:pPr>
      <w:suppressAutoHyphens w:val="1"/>
      <w:overflowPunct w:val="0"/>
      <w:autoSpaceDE w:val="0"/>
      <w:autoSpaceDN w:val="0"/>
      <w:adjustRightInd w:val="0"/>
      <w:spacing w:after="0" w:line="240" w:lineRule="auto"/>
      <w:ind w:left="720" w:right="-360" w:firstLine="720"/>
      <w:textAlignment w:val="baseline"/>
    </w:pPr>
    <w:rPr>
      <w:rFonts w:ascii="Courier New" w:hAnsi="Courier New"/>
      <w:sz w:val="24"/>
      <w:szCs w:val="20"/>
    </w:rPr>
  </w:style>
  <w:style w:type="paragraph" w:styleId="Footer">
    <w:name w:val="footer"/>
    <w:basedOn w:val="Normal"/>
    <w:link w:val="FooterChar"/>
    <w:uiPriority w:val="99"/>
    <w:unhideWhenUsed w:val="1"/>
    <w:rsid w:val="005C2F69"/>
    <w:pPr>
      <w:tabs>
        <w:tab w:val="center" w:pos="4680"/>
        <w:tab w:val="right" w:pos="9360"/>
      </w:tabs>
      <w:spacing w:after="0" w:line="240" w:lineRule="auto"/>
    </w:pPr>
  </w:style>
  <w:style w:type="character" w:styleId="FooterChar" w:customStyle="1">
    <w:name w:val="Footer Char"/>
    <w:basedOn w:val="DefaultParagraphFont"/>
    <w:link w:val="Footer"/>
    <w:uiPriority w:val="99"/>
    <w:rsid w:val="005C2F69"/>
    <w:rPr>
      <w:rFonts w:ascii="Calibri" w:cs="Times New Roman" w:eastAsia="Times New Roman" w:hAnsi="Calibri"/>
    </w:rPr>
  </w:style>
  <w:style w:type="character" w:styleId="Heading2Char" w:customStyle="1">
    <w:name w:val="Heading 2 Char"/>
    <w:basedOn w:val="DefaultParagraphFont"/>
    <w:link w:val="Heading2"/>
    <w:rsid w:val="00711E78"/>
    <w:rPr>
      <w:rFonts w:ascii="Times New Roman" w:cs="Times New Roman" w:eastAsia="Times New Roman" w:hAnsi="Times New Roman"/>
      <w:sz w:val="20"/>
      <w:szCs w:val="20"/>
    </w:rPr>
  </w:style>
  <w:style w:type="character" w:styleId="Heading3Char" w:customStyle="1">
    <w:name w:val="Heading 3 Char"/>
    <w:basedOn w:val="DefaultParagraphFont"/>
    <w:link w:val="Heading3"/>
    <w:rsid w:val="00711E78"/>
    <w:rPr>
      <w:rFonts w:ascii="Times New Roman" w:cs="Times New Roman" w:eastAsia="Times New Roman" w:hAnsi="Times New Roman"/>
      <w:sz w:val="20"/>
      <w:szCs w:val="20"/>
    </w:rPr>
  </w:style>
  <w:style w:type="character" w:styleId="Heading6Char" w:customStyle="1">
    <w:name w:val="Heading 6 Char"/>
    <w:basedOn w:val="DefaultParagraphFont"/>
    <w:link w:val="Heading6"/>
    <w:rsid w:val="00711E78"/>
    <w:rPr>
      <w:rFonts w:ascii="Courier New" w:cs="Times New Roman" w:eastAsia="Times New Roman" w:hAnsi="Courier New"/>
      <w:b w:val="1"/>
      <w:bCs w:val="1"/>
      <w:sz w:val="24"/>
      <w:szCs w:val="20"/>
    </w:rPr>
  </w:style>
  <w:style w:type="paragraph" w:styleId="BodyTextIndent2">
    <w:name w:val="Body Text Indent 2"/>
    <w:basedOn w:val="Normal"/>
    <w:link w:val="BodyTextIndent2Char"/>
    <w:rsid w:val="00711E78"/>
    <w:pPr>
      <w:tabs>
        <w:tab w:val="left" w:pos="900"/>
      </w:tabs>
      <w:overflowPunct w:val="0"/>
      <w:autoSpaceDE w:val="0"/>
      <w:autoSpaceDN w:val="0"/>
      <w:adjustRightInd w:val="0"/>
      <w:spacing w:after="0" w:line="240" w:lineRule="auto"/>
      <w:ind w:left="900"/>
      <w:textAlignment w:val="baseline"/>
    </w:pPr>
    <w:rPr>
      <w:rFonts w:ascii="Times New Roman" w:hAnsi="Times New Roman"/>
      <w:sz w:val="20"/>
      <w:szCs w:val="20"/>
    </w:rPr>
  </w:style>
  <w:style w:type="character" w:styleId="BodyTextIndent2Char" w:customStyle="1">
    <w:name w:val="Body Text Indent 2 Char"/>
    <w:basedOn w:val="DefaultParagraphFont"/>
    <w:link w:val="BodyTextIndent2"/>
    <w:rsid w:val="00711E78"/>
    <w:rPr>
      <w:rFonts w:ascii="Times New Roman" w:cs="Times New Roman" w:eastAsia="Times New Roman" w:hAnsi="Times New Roman"/>
      <w:sz w:val="20"/>
      <w:szCs w:val="20"/>
    </w:rPr>
  </w:style>
  <w:style w:type="paragraph" w:styleId="ListParagraph">
    <w:name w:val="List Paragraph"/>
    <w:basedOn w:val="Normal"/>
    <w:uiPriority w:val="34"/>
    <w:qFormat w:val="1"/>
    <w:rsid w:val="00711E78"/>
    <w:pPr>
      <w:overflowPunct w:val="0"/>
      <w:autoSpaceDE w:val="0"/>
      <w:autoSpaceDN w:val="0"/>
      <w:adjustRightInd w:val="0"/>
      <w:spacing w:after="0" w:line="240" w:lineRule="auto"/>
      <w:ind w:left="720"/>
      <w:textAlignment w:val="baseline"/>
    </w:pPr>
    <w:rPr>
      <w:rFonts w:ascii="Times New Roman" w:hAnsi="Times New Roman"/>
      <w:sz w:val="24"/>
      <w:szCs w:val="20"/>
    </w:rPr>
  </w:style>
  <w:style w:type="character" w:styleId="Heading1Char" w:customStyle="1">
    <w:name w:val="Heading 1 Char"/>
    <w:basedOn w:val="DefaultParagraphFont"/>
    <w:link w:val="Heading1"/>
    <w:uiPriority w:val="9"/>
    <w:rsid w:val="00BA423D"/>
    <w:rPr>
      <w:rFonts w:asciiTheme="majorHAnsi" w:cstheme="majorBidi" w:eastAsiaTheme="majorEastAsia" w:hAnsiTheme="majorHAnsi"/>
      <w:color w:val="2e74b5" w:themeColor="accent1" w:themeShade="0000BF"/>
      <w:sz w:val="32"/>
      <w:szCs w:val="32"/>
    </w:rPr>
  </w:style>
  <w:style w:type="character" w:styleId="Heading4Char" w:customStyle="1">
    <w:name w:val="Heading 4 Char"/>
    <w:basedOn w:val="DefaultParagraphFont"/>
    <w:link w:val="Heading4"/>
    <w:uiPriority w:val="9"/>
    <w:semiHidden w:val="1"/>
    <w:rsid w:val="00BA423D"/>
    <w:rPr>
      <w:rFonts w:asciiTheme="majorHAnsi" w:cstheme="majorBidi" w:eastAsiaTheme="majorEastAsia" w:hAnsiTheme="majorHAnsi"/>
      <w:i w:val="1"/>
      <w:iCs w:val="1"/>
      <w:color w:val="2e74b5" w:themeColor="accent1" w:themeShade="0000BF"/>
    </w:rPr>
  </w:style>
  <w:style w:type="table" w:styleId="TableGrid">
    <w:name w:val="Table Grid"/>
    <w:basedOn w:val="TableNormal"/>
    <w:uiPriority w:val="39"/>
    <w:rsid w:val="004C5B1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lainText">
    <w:name w:val="Plain Text"/>
    <w:basedOn w:val="Normal"/>
    <w:link w:val="PlainTextChar"/>
    <w:rsid w:val="00220A13"/>
    <w:pPr>
      <w:spacing w:after="0" w:line="240" w:lineRule="auto"/>
    </w:pPr>
    <w:rPr>
      <w:rFonts w:ascii="Courier New" w:cs="Courier New" w:hAnsi="Courier New"/>
      <w:color w:val="000000"/>
      <w:sz w:val="20"/>
      <w:szCs w:val="20"/>
      <w:lang w:val="en-GB"/>
    </w:rPr>
  </w:style>
  <w:style w:type="character" w:styleId="PlainTextChar" w:customStyle="1">
    <w:name w:val="Plain Text Char"/>
    <w:basedOn w:val="DefaultParagraphFont"/>
    <w:link w:val="PlainText"/>
    <w:rsid w:val="00220A13"/>
    <w:rPr>
      <w:rFonts w:ascii="Courier New" w:cs="Courier New" w:eastAsia="Times New Roman" w:hAnsi="Courier New"/>
      <w:color w:val="000000"/>
      <w:sz w:val="20"/>
      <w:szCs w:val="20"/>
      <w:lang w:val="en-GB"/>
    </w:rPr>
  </w:style>
  <w:style w:type="paragraph" w:styleId="BalloonText">
    <w:name w:val="Balloon Text"/>
    <w:basedOn w:val="Normal"/>
    <w:link w:val="BalloonTextChar"/>
    <w:uiPriority w:val="99"/>
    <w:semiHidden w:val="1"/>
    <w:unhideWhenUsed w:val="1"/>
    <w:rsid w:val="00D71DF0"/>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D71DF0"/>
    <w:rPr>
      <w:rFonts w:ascii="Tahoma" w:cs="Tahoma" w:eastAsia="Times New Roman" w:hAnsi="Tahoma"/>
      <w:sz w:val="16"/>
      <w:szCs w:val="16"/>
    </w:rPr>
  </w:style>
  <w:style w:type="paragraph" w:styleId="NoSpacing">
    <w:name w:val="No Spacing"/>
    <w:uiPriority w:val="1"/>
    <w:qFormat w:val="1"/>
    <w:rsid w:val="002E58CB"/>
    <w:pPr>
      <w:overflowPunct w:val="0"/>
      <w:autoSpaceDE w:val="0"/>
      <w:autoSpaceDN w:val="0"/>
      <w:adjustRightInd w:val="0"/>
      <w:spacing w:after="0" w:line="240" w:lineRule="auto"/>
      <w:textAlignment w:val="baseline"/>
    </w:pPr>
    <w:rPr>
      <w:rFonts w:ascii="Times New Roman" w:cs="Times New Roman" w:eastAsia="Times New Roman" w:hAnsi="Times New Roman"/>
      <w:noProof w:val="1"/>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LbkITigDx5u7fVXveGBi98touw==">CgMxLjAyDmguY3lpNmdzcm4za2ZrMg5oLjlibjY5dng5Zm8ycDINaC5lb3E4N2RnM3FqdzIOaC44cTdjYmNyZWJ3Y3AyDmguNmdjNXM5bjR5aTdlOAByITExY3NuTE55cjBqMm5xZzJjbzM2T0UtYV9nSVJGYmpDQQ==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2019-11-13T07:24:00Z</dcterms:created>
  <dc:creator>Lenovo</dc:creator>
</cp:coreProperties>
</file>